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right="0"/>
        <w:jc w:val="both"/>
        <w:rPr>
          <w:rFonts w:hint="eastAsia" w:ascii="黑体" w:hAnsi="黑体" w:eastAsia="黑体" w:cs="黑体"/>
          <w:color w:val="000000"/>
          <w:sz w:val="32"/>
          <w:szCs w:val="32"/>
          <w:shd w:val="clear" w:fill="FFFFFF"/>
          <w:lang w:eastAsia="zh-CN"/>
        </w:rPr>
      </w:pPr>
      <w:r>
        <w:rPr>
          <w:rFonts w:hint="eastAsia" w:ascii="黑体" w:hAnsi="黑体" w:eastAsia="黑体" w:cs="黑体"/>
          <w:color w:val="000000"/>
          <w:sz w:val="32"/>
          <w:szCs w:val="32"/>
          <w:shd w:val="clear" w:fill="FFFFFF"/>
          <w:lang w:eastAsia="zh-CN"/>
        </w:rPr>
        <w:t>附件</w:t>
      </w:r>
      <w:r>
        <w:rPr>
          <w:rFonts w:hint="eastAsia" w:ascii="黑体" w:hAnsi="黑体" w:eastAsia="黑体" w:cs="黑体"/>
          <w:color w:val="000000"/>
          <w:sz w:val="32"/>
          <w:szCs w:val="32"/>
          <w:shd w:val="clear" w:fill="FFFFFF"/>
          <w:lang w:val="en-US" w:eastAsia="zh-CN"/>
        </w:rPr>
        <w:t>1</w:t>
      </w:r>
    </w:p>
    <w:p>
      <w:pPr>
        <w:pStyle w:val="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spacing w:before="0" w:beforeAutospacing="0" w:after="0" w:afterAutospacing="0" w:line="0" w:lineRule="atLeast"/>
        <w:ind w:right="0"/>
        <w:jc w:val="both"/>
        <w:rPr>
          <w:rFonts w:hint="eastAsia" w:ascii="黑体" w:hAnsi="黑体" w:eastAsia="黑体" w:cs="黑体"/>
          <w:color w:val="000000"/>
          <w:sz w:val="32"/>
          <w:szCs w:val="32"/>
          <w:shd w:val="clear" w:fill="FFFFFF"/>
          <w:lang w:eastAsia="zh-CN"/>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883" w:firstLineChars="200"/>
        <w:jc w:val="both"/>
        <w:textAlignment w:val="auto"/>
        <w:rPr>
          <w:rFonts w:hint="eastAsia" w:ascii="方正小标宋简体" w:hAnsi="方正小标宋简体" w:eastAsia="方正小标宋简体" w:cs="方正小标宋简体"/>
          <w:b/>
          <w:bCs/>
          <w:kern w:val="2"/>
          <w:sz w:val="44"/>
          <w:szCs w:val="44"/>
          <w:lang w:val="en-US" w:eastAsia="zh-CN" w:bidi="ar-SA"/>
        </w:rPr>
      </w:pPr>
      <w:r>
        <w:rPr>
          <w:rFonts w:hint="eastAsia" w:ascii="方正小标宋简体" w:hAnsi="方正小标宋简体" w:eastAsia="方正小标宋简体" w:cs="方正小标宋简体"/>
          <w:b/>
          <w:bCs/>
          <w:kern w:val="2"/>
          <w:sz w:val="44"/>
          <w:szCs w:val="44"/>
          <w:lang w:val="en-US" w:eastAsia="zh-CN" w:bidi="ar-SA"/>
        </w:rPr>
        <w:t>三门峡市概念验证中心建设条件</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880" w:firstLineChars="200"/>
        <w:jc w:val="both"/>
        <w:textAlignment w:val="auto"/>
        <w:rPr>
          <w:rFonts w:hint="default" w:ascii="方正小标宋简体" w:hAnsi="方正小标宋简体" w:eastAsia="方正小标宋简体" w:cs="方正小标宋简体"/>
          <w:kern w:val="2"/>
          <w:sz w:val="44"/>
          <w:szCs w:val="44"/>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（一）牵头建设单位应为具有独立法人资格的高校院所、科研机构和企事业单位等且设有专门负责科技成果转化的机构或部门。鼓励</w:t>
      </w:r>
      <w:r>
        <w:rPr>
          <w:rFonts w:hint="eastAsia" w:ascii="仿宋_GB2312" w:hAnsi="仿宋_GB2312" w:eastAsia="仿宋_GB2312" w:cs="仿宋_GB2312"/>
          <w:kern w:val="2"/>
          <w:sz w:val="32"/>
          <w:szCs w:val="32"/>
          <w:lang w:val="en-US" w:eastAsia="zh-CN" w:bidi="ar-SA"/>
        </w:rPr>
        <w:t>市</w:t>
      </w:r>
      <w:r>
        <w:rPr>
          <w:rFonts w:hint="default" w:ascii="仿宋_GB2312" w:hAnsi="仿宋_GB2312" w:eastAsia="仿宋_GB2312" w:cs="仿宋_GB2312"/>
          <w:kern w:val="2"/>
          <w:sz w:val="32"/>
          <w:szCs w:val="32"/>
          <w:lang w:val="en-US" w:eastAsia="zh-CN" w:bidi="ar-SA"/>
        </w:rPr>
        <w:t>概念验证中心注册为独立法人实体，建立相对独立的人、财、物管理运行机制。</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（二）具有完善的管理体系。</w:t>
      </w:r>
      <w:bookmarkStart w:id="0" w:name="OLE_LINK7"/>
      <w:bookmarkStart w:id="1" w:name="OLE_LINK8"/>
      <w:r>
        <w:rPr>
          <w:rFonts w:hint="default" w:ascii="仿宋_GB2312" w:hAnsi="仿宋_GB2312" w:eastAsia="仿宋_GB2312" w:cs="仿宋_GB2312"/>
          <w:kern w:val="2"/>
          <w:sz w:val="32"/>
          <w:szCs w:val="32"/>
          <w:lang w:val="en-US" w:eastAsia="zh-CN" w:bidi="ar-SA"/>
        </w:rPr>
        <w:t>具有概念验证项目征集、遴选、立项、服务、推介等全流程工作制度和考评激励机制；制定有对外开展概念验证服务管理办法，有明确的服务清单等；</w:t>
      </w:r>
      <w:bookmarkEnd w:id="0"/>
      <w:r>
        <w:rPr>
          <w:rFonts w:hint="default" w:ascii="仿宋_GB2312" w:hAnsi="仿宋_GB2312" w:eastAsia="仿宋_GB2312" w:cs="仿宋_GB2312"/>
          <w:kern w:val="2"/>
          <w:sz w:val="32"/>
          <w:szCs w:val="32"/>
          <w:lang w:val="en-US" w:eastAsia="zh-CN" w:bidi="ar-SA"/>
        </w:rPr>
        <w:t>具有概念验证尽职免责机制，以及完善的科技保密、科研诚信、科技伦理等管理制度。</w:t>
      </w:r>
      <w:bookmarkEnd w:id="1"/>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u w:val="none"/>
          <w:lang w:val="en-US" w:eastAsia="zh-CN" w:bidi="ar-SA"/>
        </w:rPr>
      </w:pPr>
      <w:r>
        <w:rPr>
          <w:rFonts w:hint="default" w:ascii="仿宋_GB2312" w:hAnsi="仿宋_GB2312" w:eastAsia="仿宋_GB2312" w:cs="仿宋_GB2312"/>
          <w:kern w:val="2"/>
          <w:sz w:val="32"/>
          <w:szCs w:val="32"/>
          <w:lang w:val="en-US" w:eastAsia="zh-CN" w:bidi="ar-SA"/>
        </w:rPr>
        <w:t>（三）具有专业化服务团队。拥有稳定的概念验证中心运营管理团队和专家顾问团队，其中负责人应</w:t>
      </w:r>
      <w:r>
        <w:rPr>
          <w:rFonts w:hint="default" w:ascii="仿宋_GB2312" w:hAnsi="仿宋_GB2312" w:eastAsia="仿宋_GB2312" w:cs="仿宋_GB2312"/>
          <w:kern w:val="2"/>
          <w:sz w:val="32"/>
          <w:szCs w:val="32"/>
          <w:u w:val="none"/>
          <w:lang w:val="en-US" w:eastAsia="zh-CN" w:bidi="ar-SA"/>
        </w:rPr>
        <w:t>具有研究生及以上学历或</w:t>
      </w:r>
      <w:r>
        <w:rPr>
          <w:rFonts w:hint="eastAsia" w:ascii="仿宋_GB2312" w:hAnsi="仿宋_GB2312" w:eastAsia="仿宋_GB2312" w:cs="仿宋_GB2312"/>
          <w:kern w:val="2"/>
          <w:sz w:val="32"/>
          <w:szCs w:val="32"/>
          <w:u w:val="none"/>
          <w:lang w:val="en-US" w:eastAsia="zh-CN" w:bidi="ar-SA"/>
        </w:rPr>
        <w:t>副</w:t>
      </w:r>
      <w:r>
        <w:rPr>
          <w:rFonts w:hint="default" w:ascii="仿宋_GB2312" w:hAnsi="仿宋_GB2312" w:eastAsia="仿宋_GB2312" w:cs="仿宋_GB2312"/>
          <w:kern w:val="2"/>
          <w:sz w:val="32"/>
          <w:szCs w:val="32"/>
          <w:u w:val="none"/>
          <w:lang w:val="en-US" w:eastAsia="zh-CN" w:bidi="ar-SA"/>
        </w:rPr>
        <w:t>高级</w:t>
      </w:r>
      <w:r>
        <w:rPr>
          <w:rFonts w:hint="eastAsia" w:ascii="仿宋_GB2312" w:hAnsi="仿宋_GB2312" w:eastAsia="仿宋_GB2312" w:cs="仿宋_GB2312"/>
          <w:kern w:val="2"/>
          <w:sz w:val="32"/>
          <w:szCs w:val="32"/>
          <w:u w:val="none"/>
          <w:lang w:val="en-US" w:eastAsia="zh-CN" w:bidi="ar-SA"/>
        </w:rPr>
        <w:t>及以上</w:t>
      </w:r>
      <w:r>
        <w:rPr>
          <w:rFonts w:hint="default" w:ascii="仿宋_GB2312" w:hAnsi="仿宋_GB2312" w:eastAsia="仿宋_GB2312" w:cs="仿宋_GB2312"/>
          <w:kern w:val="2"/>
          <w:sz w:val="32"/>
          <w:szCs w:val="32"/>
          <w:u w:val="none"/>
          <w:lang w:val="en-US" w:eastAsia="zh-CN" w:bidi="ar-SA"/>
        </w:rPr>
        <w:t>职称，从事科技成果转化相关工作</w:t>
      </w:r>
      <w:r>
        <w:rPr>
          <w:rFonts w:hint="eastAsia" w:ascii="仿宋_GB2312" w:hAnsi="仿宋_GB2312" w:eastAsia="仿宋_GB2312" w:cs="仿宋_GB2312"/>
          <w:kern w:val="2"/>
          <w:sz w:val="32"/>
          <w:szCs w:val="32"/>
          <w:u w:val="none"/>
          <w:lang w:val="en-US" w:eastAsia="zh-CN" w:bidi="ar-SA"/>
        </w:rPr>
        <w:t>3</w:t>
      </w:r>
      <w:r>
        <w:rPr>
          <w:rFonts w:hint="default" w:ascii="仿宋_GB2312" w:hAnsi="仿宋_GB2312" w:eastAsia="仿宋_GB2312" w:cs="仿宋_GB2312"/>
          <w:kern w:val="2"/>
          <w:sz w:val="32"/>
          <w:szCs w:val="32"/>
          <w:u w:val="none"/>
          <w:lang w:val="en-US" w:eastAsia="zh-CN" w:bidi="ar-SA"/>
        </w:rPr>
        <w:t>年（含）以上，牵头负责的科技成果转化成功案例不少于</w:t>
      </w:r>
      <w:r>
        <w:rPr>
          <w:rFonts w:hint="eastAsia" w:ascii="仿宋_GB2312" w:hAnsi="仿宋_GB2312" w:eastAsia="仿宋_GB2312" w:cs="仿宋_GB2312"/>
          <w:kern w:val="2"/>
          <w:sz w:val="32"/>
          <w:szCs w:val="32"/>
          <w:u w:val="none"/>
          <w:lang w:val="en-US" w:eastAsia="zh-CN" w:bidi="ar-SA"/>
        </w:rPr>
        <w:t>2</w:t>
      </w:r>
      <w:r>
        <w:rPr>
          <w:rFonts w:hint="default" w:ascii="仿宋_GB2312" w:hAnsi="仿宋_GB2312" w:eastAsia="仿宋_GB2312" w:cs="仿宋_GB2312"/>
          <w:kern w:val="2"/>
          <w:sz w:val="32"/>
          <w:szCs w:val="32"/>
          <w:u w:val="none"/>
          <w:lang w:val="en-US" w:eastAsia="zh-CN" w:bidi="ar-SA"/>
        </w:rPr>
        <w:t>项；运营管理团队不少于</w:t>
      </w:r>
      <w:r>
        <w:rPr>
          <w:rFonts w:hint="eastAsia" w:ascii="仿宋_GB2312" w:hAnsi="仿宋_GB2312" w:eastAsia="仿宋_GB2312" w:cs="仿宋_GB2312"/>
          <w:kern w:val="2"/>
          <w:sz w:val="32"/>
          <w:szCs w:val="32"/>
          <w:u w:val="none"/>
          <w:lang w:val="en-US" w:eastAsia="zh-CN" w:bidi="ar-SA"/>
        </w:rPr>
        <w:t>7</w:t>
      </w:r>
      <w:r>
        <w:rPr>
          <w:rFonts w:hint="default" w:ascii="仿宋_GB2312" w:hAnsi="仿宋_GB2312" w:eastAsia="仿宋_GB2312" w:cs="仿宋_GB2312"/>
          <w:kern w:val="2"/>
          <w:sz w:val="32"/>
          <w:szCs w:val="32"/>
          <w:u w:val="none"/>
          <w:lang w:val="en-US" w:eastAsia="zh-CN" w:bidi="ar-SA"/>
        </w:rPr>
        <w:t>人，其中专职人员不少于</w:t>
      </w:r>
      <w:r>
        <w:rPr>
          <w:rFonts w:hint="eastAsia" w:ascii="仿宋_GB2312" w:hAnsi="仿宋_GB2312" w:eastAsia="仿宋_GB2312" w:cs="仿宋_GB2312"/>
          <w:kern w:val="2"/>
          <w:sz w:val="32"/>
          <w:szCs w:val="32"/>
          <w:u w:val="none"/>
          <w:lang w:val="en-US" w:eastAsia="zh-CN" w:bidi="ar-SA"/>
        </w:rPr>
        <w:t>3</w:t>
      </w:r>
      <w:r>
        <w:rPr>
          <w:rFonts w:hint="default" w:ascii="仿宋_GB2312" w:hAnsi="仿宋_GB2312" w:eastAsia="仿宋_GB2312" w:cs="仿宋_GB2312"/>
          <w:kern w:val="2"/>
          <w:sz w:val="32"/>
          <w:szCs w:val="32"/>
          <w:u w:val="none"/>
          <w:lang w:val="en-US" w:eastAsia="zh-CN" w:bidi="ar-SA"/>
        </w:rPr>
        <w:t>人；专家顾问团队由科学家、技术专家、产业专家、投融资及法务专家等组成，其中外单位专家应不低于50%。</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u w:val="none"/>
          <w:lang w:val="en-US" w:eastAsia="zh-CN" w:bidi="ar-SA"/>
        </w:rPr>
      </w:pPr>
      <w:r>
        <w:rPr>
          <w:rFonts w:hint="default" w:ascii="仿宋_GB2312" w:hAnsi="仿宋_GB2312" w:eastAsia="仿宋_GB2312" w:cs="仿宋_GB2312"/>
          <w:kern w:val="2"/>
          <w:sz w:val="32"/>
          <w:szCs w:val="32"/>
          <w:u w:val="none"/>
          <w:lang w:val="en-US" w:eastAsia="zh-CN" w:bidi="ar-SA"/>
        </w:rPr>
        <w:t>（四）具有可用于概念验证服务的资金、场地及配套设施。单独或与其他主体合作设立来源稳定且不低于</w:t>
      </w:r>
      <w:r>
        <w:rPr>
          <w:rFonts w:hint="eastAsia" w:ascii="仿宋_GB2312" w:hAnsi="仿宋_GB2312" w:eastAsia="仿宋_GB2312" w:cs="仿宋_GB2312"/>
          <w:kern w:val="2"/>
          <w:sz w:val="32"/>
          <w:szCs w:val="32"/>
          <w:u w:val="none"/>
          <w:lang w:val="en-US" w:eastAsia="zh-CN" w:bidi="ar-SA"/>
        </w:rPr>
        <w:t>3</w:t>
      </w:r>
      <w:r>
        <w:rPr>
          <w:rFonts w:hint="default" w:ascii="仿宋_GB2312" w:hAnsi="仿宋_GB2312" w:eastAsia="仿宋_GB2312" w:cs="仿宋_GB2312"/>
          <w:kern w:val="2"/>
          <w:sz w:val="32"/>
          <w:szCs w:val="32"/>
          <w:u w:val="none"/>
          <w:lang w:val="en-US" w:eastAsia="zh-CN" w:bidi="ar-SA"/>
        </w:rPr>
        <w:t>00万元的概念验证专项资金；配备有200平方米以上的固定工作场所；拥有概念验证核心功能对应的科学仪器设备及设施的使用权。</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u w:val="none"/>
          <w:lang w:val="en-US" w:eastAsia="zh-CN" w:bidi="ar-SA"/>
        </w:rPr>
      </w:pPr>
      <w:r>
        <w:rPr>
          <w:rFonts w:hint="default" w:ascii="仿宋_GB2312" w:hAnsi="仿宋_GB2312" w:eastAsia="仿宋_GB2312" w:cs="仿宋_GB2312"/>
          <w:kern w:val="2"/>
          <w:sz w:val="32"/>
          <w:szCs w:val="32"/>
          <w:u w:val="none"/>
          <w:lang w:val="en-US" w:eastAsia="zh-CN" w:bidi="ar-SA"/>
        </w:rPr>
        <w:t>（五）具有稳定的概念验证项目来源。建立有概念验证项目库，入库项目不少于</w:t>
      </w:r>
      <w:r>
        <w:rPr>
          <w:rFonts w:hint="eastAsia" w:ascii="仿宋_GB2312" w:hAnsi="仿宋_GB2312" w:eastAsia="仿宋_GB2312" w:cs="仿宋_GB2312"/>
          <w:kern w:val="2"/>
          <w:sz w:val="32"/>
          <w:szCs w:val="32"/>
          <w:u w:val="none"/>
          <w:lang w:val="en-US" w:eastAsia="zh-CN" w:bidi="ar-SA"/>
        </w:rPr>
        <w:t>15</w:t>
      </w:r>
      <w:r>
        <w:rPr>
          <w:rFonts w:hint="default" w:ascii="仿宋_GB2312" w:hAnsi="仿宋_GB2312" w:eastAsia="仿宋_GB2312" w:cs="仿宋_GB2312"/>
          <w:kern w:val="2"/>
          <w:sz w:val="32"/>
          <w:szCs w:val="32"/>
          <w:u w:val="none"/>
          <w:lang w:val="en-US" w:eastAsia="zh-CN" w:bidi="ar-SA"/>
        </w:rPr>
        <w:t>个，入库的概念验证项目需与申报</w:t>
      </w:r>
      <w:r>
        <w:rPr>
          <w:rFonts w:hint="eastAsia" w:ascii="仿宋_GB2312" w:hAnsi="仿宋_GB2312" w:eastAsia="仿宋_GB2312" w:cs="仿宋_GB2312"/>
          <w:kern w:val="2"/>
          <w:sz w:val="32"/>
          <w:szCs w:val="32"/>
          <w:u w:val="none"/>
          <w:lang w:val="en-US" w:eastAsia="zh-CN" w:bidi="ar-SA"/>
        </w:rPr>
        <w:t>市</w:t>
      </w:r>
      <w:r>
        <w:rPr>
          <w:rFonts w:hint="default" w:ascii="仿宋_GB2312" w:hAnsi="仿宋_GB2312" w:eastAsia="仿宋_GB2312" w:cs="仿宋_GB2312"/>
          <w:kern w:val="2"/>
          <w:sz w:val="32"/>
          <w:szCs w:val="32"/>
          <w:u w:val="none"/>
          <w:lang w:val="en-US" w:eastAsia="zh-CN" w:bidi="ar-SA"/>
        </w:rPr>
        <w:t>概念验证中心的产业领域一致。</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kern w:val="2"/>
          <w:sz w:val="32"/>
          <w:szCs w:val="32"/>
          <w:u w:val="none"/>
          <w:lang w:val="en-US" w:eastAsia="zh-CN" w:bidi="ar-SA"/>
        </w:rPr>
      </w:pPr>
      <w:r>
        <w:rPr>
          <w:rFonts w:hint="default" w:ascii="仿宋_GB2312" w:hAnsi="仿宋_GB2312" w:eastAsia="仿宋_GB2312" w:cs="仿宋_GB2312"/>
          <w:kern w:val="2"/>
          <w:sz w:val="32"/>
          <w:szCs w:val="32"/>
          <w:u w:val="none"/>
          <w:lang w:val="en-US" w:eastAsia="zh-CN" w:bidi="ar-SA"/>
        </w:rPr>
        <w:t>（六）申报前两年，累计已完成概念验证项目不少于</w:t>
      </w:r>
      <w:r>
        <w:rPr>
          <w:rFonts w:hint="eastAsia" w:ascii="仿宋_GB2312" w:hAnsi="仿宋_GB2312" w:eastAsia="仿宋_GB2312" w:cs="仿宋_GB2312"/>
          <w:kern w:val="2"/>
          <w:sz w:val="32"/>
          <w:szCs w:val="32"/>
          <w:u w:val="none"/>
          <w:lang w:val="en-US" w:eastAsia="zh-CN" w:bidi="ar-SA"/>
        </w:rPr>
        <w:t>7</w:t>
      </w:r>
      <w:r>
        <w:rPr>
          <w:rFonts w:hint="default" w:ascii="仿宋_GB2312" w:hAnsi="仿宋_GB2312" w:eastAsia="仿宋_GB2312" w:cs="仿宋_GB2312"/>
          <w:kern w:val="2"/>
          <w:sz w:val="32"/>
          <w:szCs w:val="32"/>
          <w:u w:val="none"/>
          <w:lang w:val="en-US" w:eastAsia="zh-CN" w:bidi="ar-SA"/>
        </w:rPr>
        <w:t>个；经第三方审计确认获得概念验证服务收入不少于</w:t>
      </w:r>
      <w:r>
        <w:rPr>
          <w:rFonts w:hint="eastAsia" w:ascii="仿宋_GB2312" w:hAnsi="仿宋_GB2312" w:eastAsia="仿宋_GB2312" w:cs="仿宋_GB2312"/>
          <w:kern w:val="2"/>
          <w:sz w:val="32"/>
          <w:szCs w:val="32"/>
          <w:u w:val="none"/>
          <w:lang w:val="en-US" w:eastAsia="zh-CN" w:bidi="ar-SA"/>
        </w:rPr>
        <w:t>80</w:t>
      </w:r>
      <w:r>
        <w:rPr>
          <w:rFonts w:hint="default" w:ascii="仿宋_GB2312" w:hAnsi="仿宋_GB2312" w:eastAsia="仿宋_GB2312" w:cs="仿宋_GB2312"/>
          <w:kern w:val="2"/>
          <w:sz w:val="32"/>
          <w:szCs w:val="32"/>
          <w:u w:val="none"/>
          <w:lang w:val="en-US" w:eastAsia="zh-CN" w:bidi="ar-SA"/>
        </w:rPr>
        <w:t>万元或通过验证的项目获得股权融资不少于</w:t>
      </w:r>
      <w:r>
        <w:rPr>
          <w:rFonts w:hint="eastAsia" w:ascii="仿宋_GB2312" w:hAnsi="仿宋_GB2312" w:eastAsia="仿宋_GB2312" w:cs="仿宋_GB2312"/>
          <w:kern w:val="2"/>
          <w:sz w:val="32"/>
          <w:szCs w:val="32"/>
          <w:u w:val="none"/>
          <w:lang w:val="en-US" w:eastAsia="zh-CN" w:bidi="ar-SA"/>
        </w:rPr>
        <w:t>4</w:t>
      </w:r>
      <w:r>
        <w:rPr>
          <w:rFonts w:hint="default" w:ascii="仿宋_GB2312" w:hAnsi="仿宋_GB2312" w:eastAsia="仿宋_GB2312" w:cs="仿宋_GB2312"/>
          <w:kern w:val="2"/>
          <w:sz w:val="32"/>
          <w:szCs w:val="32"/>
          <w:u w:val="none"/>
          <w:lang w:val="en-US" w:eastAsia="zh-CN" w:bidi="ar-SA"/>
        </w:rPr>
        <w:t>00万元或通过验证的项目实现技术转让、技术许可交易额不少于</w:t>
      </w:r>
      <w:r>
        <w:rPr>
          <w:rFonts w:hint="eastAsia" w:ascii="仿宋_GB2312" w:hAnsi="仿宋_GB2312" w:eastAsia="仿宋_GB2312" w:cs="仿宋_GB2312"/>
          <w:kern w:val="2"/>
          <w:sz w:val="32"/>
          <w:szCs w:val="32"/>
          <w:u w:val="none"/>
          <w:lang w:val="en-US" w:eastAsia="zh-CN" w:bidi="ar-SA"/>
        </w:rPr>
        <w:t>2</w:t>
      </w:r>
      <w:r>
        <w:rPr>
          <w:rFonts w:hint="default" w:ascii="仿宋_GB2312" w:hAnsi="仿宋_GB2312" w:eastAsia="仿宋_GB2312" w:cs="仿宋_GB2312"/>
          <w:kern w:val="2"/>
          <w:sz w:val="32"/>
          <w:szCs w:val="32"/>
          <w:u w:val="none"/>
          <w:lang w:val="en-US" w:eastAsia="zh-CN" w:bidi="ar-SA"/>
        </w:rPr>
        <w:t>00万元。</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default" w:ascii="仿宋_GB2312" w:hAnsi="仿宋_GB2312" w:eastAsia="仿宋_GB2312" w:cs="仿宋_GB2312"/>
          <w:kern w:val="2"/>
          <w:sz w:val="32"/>
          <w:szCs w:val="32"/>
          <w:u w:val="none"/>
          <w:lang w:val="en-US" w:eastAsia="zh-CN" w:bidi="ar-SA"/>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default" w:ascii="仿宋_GB2312" w:hAnsi="仿宋_GB2312" w:eastAsia="仿宋_GB2312" w:cs="仿宋_GB2312"/>
          <w:kern w:val="2"/>
          <w:sz w:val="32"/>
          <w:szCs w:val="32"/>
          <w:u w:val="none"/>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bookmarkStart w:id="2" w:name="_GoBack"/>
    <w:bookmarkEnd w:id="2"/>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802CA"/>
    <w:rsid w:val="02AB2095"/>
    <w:rsid w:val="035802CA"/>
    <w:rsid w:val="093920B1"/>
    <w:rsid w:val="0AA33ABE"/>
    <w:rsid w:val="0AF7780B"/>
    <w:rsid w:val="0E872ADA"/>
    <w:rsid w:val="15761F97"/>
    <w:rsid w:val="17E06286"/>
    <w:rsid w:val="18BB597B"/>
    <w:rsid w:val="18DF42F7"/>
    <w:rsid w:val="1BF55A8B"/>
    <w:rsid w:val="2A4129ED"/>
    <w:rsid w:val="2A5266D7"/>
    <w:rsid w:val="2F3F0D03"/>
    <w:rsid w:val="30870FF2"/>
    <w:rsid w:val="309A2B85"/>
    <w:rsid w:val="3104265F"/>
    <w:rsid w:val="32631FA2"/>
    <w:rsid w:val="33707BCD"/>
    <w:rsid w:val="39B41D7C"/>
    <w:rsid w:val="3A531ECD"/>
    <w:rsid w:val="3E1A5671"/>
    <w:rsid w:val="3EF67B2F"/>
    <w:rsid w:val="420473BE"/>
    <w:rsid w:val="442C7B41"/>
    <w:rsid w:val="467A6BD7"/>
    <w:rsid w:val="47680E90"/>
    <w:rsid w:val="480B4380"/>
    <w:rsid w:val="48943F06"/>
    <w:rsid w:val="49951CE4"/>
    <w:rsid w:val="49A05350"/>
    <w:rsid w:val="4A2F2139"/>
    <w:rsid w:val="4A656EC1"/>
    <w:rsid w:val="50D72809"/>
    <w:rsid w:val="51A80D1E"/>
    <w:rsid w:val="58935F89"/>
    <w:rsid w:val="58AF078F"/>
    <w:rsid w:val="5D402B6D"/>
    <w:rsid w:val="5F335AED"/>
    <w:rsid w:val="6001764F"/>
    <w:rsid w:val="62BC527E"/>
    <w:rsid w:val="653E102A"/>
    <w:rsid w:val="6E8F4DAF"/>
    <w:rsid w:val="756643B1"/>
    <w:rsid w:val="75851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Body Text Indent"/>
    <w:basedOn w:val="1"/>
    <w:qFormat/>
    <w:uiPriority w:val="0"/>
    <w:pPr>
      <w:widowControl w:val="0"/>
      <w:spacing w:before="0" w:after="0"/>
      <w:ind w:left="-359" w:leftChars="-171" w:right="0" w:firstLine="660" w:firstLineChars="211"/>
      <w:jc w:val="both"/>
    </w:pPr>
    <w:rPr>
      <w:rFonts w:ascii="仿宋_GB2312" w:hAnsi="Calibri" w:eastAsia="仿宋_GB2312" w:cs="Times New Roman"/>
      <w:kern w:val="2"/>
      <w:sz w:val="32"/>
      <w:szCs w:val="24"/>
      <w:lang w:val="en-US" w:eastAsia="zh-CN"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next w:val="7"/>
    <w:qFormat/>
    <w:uiPriority w:val="0"/>
    <w:pPr>
      <w:ind w:firstLine="420" w:firstLineChars="100"/>
    </w:pPr>
    <w:rPr>
      <w:rFonts w:ascii="Times New Roman" w:hAnsi="Times New Roman" w:eastAsia="宋体" w:cs="Times New Roman"/>
    </w:rPr>
  </w:style>
  <w:style w:type="paragraph" w:styleId="7">
    <w:name w:val="Body Text First Indent 2"/>
    <w:basedOn w:val="3"/>
    <w:next w:val="6"/>
    <w:qFormat/>
    <w:uiPriority w:val="0"/>
    <w:pPr>
      <w:widowControl w:val="0"/>
      <w:spacing w:before="0" w:after="0"/>
      <w:ind w:left="-359" w:leftChars="-171" w:right="0" w:firstLine="420" w:firstLineChars="200"/>
      <w:jc w:val="both"/>
    </w:pPr>
    <w:rPr>
      <w:rFonts w:ascii="仿宋_GB2312" w:hAnsi="Calibri" w:eastAsia="仿宋_GB2312" w:cs="Times New Roman"/>
      <w:kern w:val="2"/>
      <w:sz w:val="32"/>
      <w:szCs w:val="24"/>
      <w:lang w:val="en-US" w:eastAsia="zh-CN" w:bidi="ar-SA"/>
    </w:rPr>
  </w:style>
  <w:style w:type="character" w:styleId="10">
    <w:name w:val="Hyperlink"/>
    <w:basedOn w:val="9"/>
    <w:qFormat/>
    <w:uiPriority w:val="0"/>
    <w:rPr>
      <w:color w:val="0000FF"/>
      <w:u w:val="single"/>
    </w:rPr>
  </w:style>
  <w:style w:type="paragraph" w:customStyle="1" w:styleId="11">
    <w:name w:val="UserStyle_0"/>
    <w:qFormat/>
    <w:uiPriority w:val="0"/>
    <w:pPr>
      <w:textAlignment w:val="baseline"/>
    </w:pPr>
    <w:rPr>
      <w:rFonts w:ascii="仿宋_GB2312" w:hAnsi="Calibri" w:eastAsia="仿宋_GB2312"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4781</Words>
  <Characters>4904</Characters>
  <Lines>0</Lines>
  <Paragraphs>0</Paragraphs>
  <TotalTime>34</TotalTime>
  <ScaleCrop>false</ScaleCrop>
  <LinksUpToDate>false</LinksUpToDate>
  <CharactersWithSpaces>5646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2026-08-20T01:02:00Z</dcterms:created>
  <dc:creator>张国红</dc:creator>
  <cp:lastModifiedBy>Administrator</cp:lastModifiedBy>
  <cp:lastPrinted>2026-08-20T03:26:00Z</cp:lastPrinted>
  <dcterms:modified xsi:type="dcterms:W3CDTF">2026-08-25T01:57:14Z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FB059D03DA0C46CB909E7927F73E2008_13</vt:lpwstr>
  </property>
  <property fmtid="{D5CDD505-2E9C-101B-9397-08002B2CF9AE}" pid="4" name="KSOTemplateDocerSaveRecord">
    <vt:lpwstr>eyJoZGlkIjoiNzcxZDI4Y2Y4MTIwZWY0NGRiMWE0MjE3MTRmZDg0MWUiLCJ1c2VySWQiOiI2ODg5ODI0MTUifQ==</vt:lpwstr>
  </property>
</Properties>
</file>